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6D9" w:rsidRDefault="00D416D9" w:rsidP="00244981">
      <w:pPr>
        <w:pStyle w:val="berschrift1"/>
        <w:spacing w:before="0" w:after="0" w:line="276" w:lineRule="auto"/>
        <w:jc w:val="left"/>
      </w:pPr>
      <w:r>
        <w:t>Reciclador 3800</w:t>
      </w:r>
      <w:r w:rsidR="00E77429">
        <w:t xml:space="preserve"> CR</w:t>
      </w:r>
      <w:r>
        <w:t xml:space="preserve"> de Wirtgen: </w:t>
      </w:r>
    </w:p>
    <w:p w:rsidR="002E765F" w:rsidRDefault="00F6696C" w:rsidP="00244981">
      <w:pPr>
        <w:pStyle w:val="berschrift1"/>
        <w:spacing w:before="0" w:after="0" w:line="276" w:lineRule="auto"/>
        <w:jc w:val="left"/>
      </w:pPr>
      <w:r>
        <w:t xml:space="preserve">100 millas, día y noche </w:t>
      </w:r>
    </w:p>
    <w:p w:rsidR="002E765F" w:rsidRDefault="002E765F" w:rsidP="002E765F">
      <w:pPr>
        <w:pStyle w:val="Text"/>
      </w:pPr>
    </w:p>
    <w:p w:rsidR="00F6696C" w:rsidRPr="0007625F" w:rsidRDefault="00F6696C" w:rsidP="00F6696C">
      <w:pPr>
        <w:autoSpaceDE w:val="0"/>
        <w:autoSpaceDN w:val="0"/>
        <w:adjustRightInd w:val="0"/>
        <w:spacing w:line="276" w:lineRule="auto"/>
        <w:jc w:val="both"/>
        <w:rPr>
          <w:rFonts w:eastAsia="AvenirNextLTPro-Bold" w:cs="AvenirNextLTPro-Medium"/>
          <w:b/>
          <w:sz w:val="22"/>
          <w:szCs w:val="22"/>
        </w:rPr>
      </w:pPr>
      <w:r>
        <w:rPr>
          <w:b/>
          <w:sz w:val="22"/>
          <w:szCs w:val="22"/>
        </w:rPr>
        <w:t>En San José/EE. UU., el reciclaje en frío in situ con un reciclador 3800 CR de Wirtgen ha demostrado ser la solución más rentable.</w:t>
      </w:r>
    </w:p>
    <w:p w:rsidR="002E765F" w:rsidRDefault="002E765F" w:rsidP="007658CA">
      <w:pPr>
        <w:pStyle w:val="Text"/>
        <w:spacing w:line="276" w:lineRule="auto"/>
        <w:rPr>
          <w:noProof/>
          <w:lang w:eastAsia="de-DE"/>
        </w:rPr>
      </w:pPr>
    </w:p>
    <w:p w:rsidR="00F6696C" w:rsidRDefault="00F6696C" w:rsidP="00F6696C">
      <w:pPr>
        <w:autoSpaceDE w:val="0"/>
        <w:autoSpaceDN w:val="0"/>
        <w:adjustRightInd w:val="0"/>
        <w:spacing w:line="276" w:lineRule="auto"/>
        <w:jc w:val="both"/>
        <w:rPr>
          <w:rFonts w:eastAsia="AvenirNextLTPro-Bold" w:cs="AvenirNextLTPro-Regular"/>
          <w:sz w:val="22"/>
          <w:szCs w:val="22"/>
        </w:rPr>
      </w:pPr>
      <w:r>
        <w:rPr>
          <w:sz w:val="22"/>
          <w:szCs w:val="22"/>
        </w:rPr>
        <w:t xml:space="preserve">El tiempo es oro. Este principio es válido, sobre todo, para obras viales. El aprovechamiento de la técnica empleada juega un papel muy importante </w:t>
      </w:r>
      <w:r w:rsidR="0029709E">
        <w:rPr>
          <w:sz w:val="22"/>
          <w:szCs w:val="22"/>
        </w:rPr>
        <w:t xml:space="preserve">en cuanto a </w:t>
      </w:r>
      <w:r>
        <w:rPr>
          <w:sz w:val="22"/>
          <w:szCs w:val="22"/>
        </w:rPr>
        <w:t>la rentabilidad. En es</w:t>
      </w:r>
      <w:bookmarkStart w:id="0" w:name="_GoBack"/>
      <w:bookmarkEnd w:id="0"/>
      <w:r>
        <w:rPr>
          <w:sz w:val="22"/>
          <w:szCs w:val="22"/>
        </w:rPr>
        <w:t xml:space="preserve">tos casos, el hecho de poder utilizar una máquina de forma flexible, constituye una gran ventaja, como, por ejemplo, el reciclador 3800 CR de Wirtgen, capaz de </w:t>
      </w:r>
      <w:r w:rsidR="008E5ED9">
        <w:rPr>
          <w:sz w:val="22"/>
          <w:szCs w:val="22"/>
        </w:rPr>
        <w:t xml:space="preserve">trabajar </w:t>
      </w:r>
      <w:r>
        <w:rPr>
          <w:sz w:val="22"/>
          <w:szCs w:val="22"/>
        </w:rPr>
        <w:t xml:space="preserve">en el procedimiento de Upcut y Downcut durante el reciclaje en frío o también </w:t>
      </w:r>
      <w:r w:rsidR="008E5ED9">
        <w:rPr>
          <w:sz w:val="22"/>
          <w:szCs w:val="22"/>
        </w:rPr>
        <w:t xml:space="preserve">de hacer las veces de </w:t>
      </w:r>
      <w:r>
        <w:rPr>
          <w:sz w:val="22"/>
          <w:szCs w:val="22"/>
        </w:rPr>
        <w:t>fresadora de alto rendimiento. Gracias a las múltiples posibilidades de aplicación, el reciclador cumple las especificaciones de una obra en función de la aplicación, o bien, de la licitación.</w:t>
      </w:r>
    </w:p>
    <w:p w:rsidR="00F6696C" w:rsidRPr="0007625F" w:rsidRDefault="00F6696C" w:rsidP="00F6696C">
      <w:pPr>
        <w:autoSpaceDE w:val="0"/>
        <w:autoSpaceDN w:val="0"/>
        <w:adjustRightInd w:val="0"/>
        <w:spacing w:line="276" w:lineRule="auto"/>
        <w:jc w:val="both"/>
        <w:rPr>
          <w:rFonts w:eastAsia="AvenirNextLTPro-Bold" w:cs="AvenirNextLTPro-Regular"/>
          <w:sz w:val="22"/>
          <w:szCs w:val="22"/>
        </w:rPr>
      </w:pPr>
    </w:p>
    <w:p w:rsidR="00F6696C" w:rsidRDefault="00F6696C" w:rsidP="00F6696C">
      <w:pPr>
        <w:autoSpaceDE w:val="0"/>
        <w:autoSpaceDN w:val="0"/>
        <w:adjustRightInd w:val="0"/>
        <w:spacing w:line="276" w:lineRule="auto"/>
        <w:jc w:val="both"/>
        <w:rPr>
          <w:rFonts w:eastAsia="AvenirNextLTPro-Bold" w:cs="AvenirNextLTPro-Regular"/>
          <w:sz w:val="22"/>
          <w:szCs w:val="22"/>
        </w:rPr>
      </w:pPr>
      <w:r>
        <w:rPr>
          <w:sz w:val="22"/>
          <w:szCs w:val="22"/>
        </w:rPr>
        <w:t xml:space="preserve">En California, el «Estado Dorado», la potente máquina de 950 CV saneó in situ las arterias principales de tráfico de la ciudad de San José en un tramo de 100 millas, en combinación con una acabadora sobre orugas de Vögele, trabajando en el procedimiento denominado </w:t>
      </w:r>
      <w:r>
        <w:rPr>
          <w:i/>
          <w:sz w:val="22"/>
          <w:szCs w:val="22"/>
        </w:rPr>
        <w:t>Rear Load</w:t>
      </w:r>
      <w:r>
        <w:rPr>
          <w:sz w:val="22"/>
          <w:szCs w:val="22"/>
        </w:rPr>
        <w:t xml:space="preserve"> (carga trasera). En este método, el 3800 CR se desplaza hacia atrás, fresa las capas de asfalto dañadas en el procedimiento de Downcut y entrega el material </w:t>
      </w:r>
      <w:r w:rsidR="00BE5BD0">
        <w:rPr>
          <w:sz w:val="22"/>
          <w:szCs w:val="22"/>
        </w:rPr>
        <w:t xml:space="preserve">reciclado </w:t>
      </w:r>
      <w:r>
        <w:rPr>
          <w:sz w:val="22"/>
          <w:szCs w:val="22"/>
        </w:rPr>
        <w:t>a la acabadora.</w:t>
      </w:r>
    </w:p>
    <w:p w:rsidR="00F6696C" w:rsidRPr="0007625F" w:rsidRDefault="00F6696C" w:rsidP="00F6696C">
      <w:pPr>
        <w:autoSpaceDE w:val="0"/>
        <w:autoSpaceDN w:val="0"/>
        <w:adjustRightInd w:val="0"/>
        <w:spacing w:line="276" w:lineRule="auto"/>
        <w:jc w:val="both"/>
        <w:rPr>
          <w:rFonts w:eastAsia="AvenirNextLTPro-Bold" w:cs="AvenirNextLTPro-Regular"/>
          <w:sz w:val="22"/>
          <w:szCs w:val="22"/>
        </w:rPr>
      </w:pPr>
    </w:p>
    <w:p w:rsidR="00F6696C" w:rsidRPr="0007625F" w:rsidRDefault="00B87D74" w:rsidP="00F6696C">
      <w:pPr>
        <w:autoSpaceDE w:val="0"/>
        <w:autoSpaceDN w:val="0"/>
        <w:adjustRightInd w:val="0"/>
        <w:spacing w:line="276" w:lineRule="auto"/>
        <w:jc w:val="both"/>
        <w:rPr>
          <w:rFonts w:eastAsia="AvenirNextLTPro-Bold" w:cs="AvenirNextLTPro-Bold"/>
          <w:b/>
          <w:bCs/>
          <w:sz w:val="22"/>
          <w:szCs w:val="22"/>
        </w:rPr>
      </w:pPr>
      <w:r>
        <w:rPr>
          <w:b/>
          <w:bCs/>
          <w:sz w:val="22"/>
          <w:szCs w:val="22"/>
        </w:rPr>
        <w:t>El procedimiento de D</w:t>
      </w:r>
      <w:r w:rsidR="00F6696C">
        <w:rPr>
          <w:b/>
          <w:bCs/>
          <w:sz w:val="22"/>
          <w:szCs w:val="22"/>
        </w:rPr>
        <w:t>owncut incrementa la calidad de extendido</w:t>
      </w:r>
    </w:p>
    <w:p w:rsidR="00F6696C" w:rsidRDefault="00F6696C" w:rsidP="00F6696C">
      <w:pPr>
        <w:autoSpaceDE w:val="0"/>
        <w:autoSpaceDN w:val="0"/>
        <w:adjustRightInd w:val="0"/>
        <w:spacing w:line="276" w:lineRule="auto"/>
        <w:jc w:val="both"/>
        <w:rPr>
          <w:rFonts w:eastAsia="AvenirNextLTPro-Bold" w:cs="AvenirNextLTPro-Regular"/>
          <w:sz w:val="22"/>
          <w:szCs w:val="22"/>
        </w:rPr>
      </w:pPr>
      <w:r>
        <w:rPr>
          <w:sz w:val="22"/>
          <w:szCs w:val="22"/>
        </w:rPr>
        <w:t xml:space="preserve">La empresa MCK Services Inc., encargada de realizar las obras, optó por este procedimiento con el fin de obtener una calidad de extendido particularmente alta. A diferencia del procedimiento de Upcut, en el que el tambor de fresado gira en sentido contrario al </w:t>
      </w:r>
      <w:r w:rsidRPr="00A65AD9">
        <w:rPr>
          <w:sz w:val="22"/>
          <w:szCs w:val="22"/>
        </w:rPr>
        <w:t>avance</w:t>
      </w:r>
      <w:r>
        <w:rPr>
          <w:sz w:val="22"/>
          <w:szCs w:val="22"/>
        </w:rPr>
        <w:t xml:space="preserve">, en el procedimiento de Downcut, desarrollado por los ingenieros de Wirtgen, el tambor de fresado del reciclador gira en el sentido del avance. </w:t>
      </w:r>
      <w:r w:rsidRPr="00A65AD9">
        <w:rPr>
          <w:sz w:val="22"/>
          <w:szCs w:val="22"/>
        </w:rPr>
        <w:t>Esto</w:t>
      </w:r>
      <w:r>
        <w:rPr>
          <w:sz w:val="22"/>
          <w:szCs w:val="22"/>
        </w:rPr>
        <w:t xml:space="preserve"> permite un control preciso del tamaño de grano, sobre todo, del asfalto delgado, viejo y muy quebradizo de carreteras.</w:t>
      </w:r>
    </w:p>
    <w:p w:rsidR="00F6696C" w:rsidRPr="0007625F" w:rsidRDefault="00F6696C" w:rsidP="00F6696C">
      <w:pPr>
        <w:autoSpaceDE w:val="0"/>
        <w:autoSpaceDN w:val="0"/>
        <w:adjustRightInd w:val="0"/>
        <w:spacing w:line="276" w:lineRule="auto"/>
        <w:jc w:val="both"/>
        <w:rPr>
          <w:rFonts w:eastAsia="AvenirNextLTPro-Bold" w:cs="AvenirNextLTPro-Regular"/>
          <w:sz w:val="22"/>
          <w:szCs w:val="22"/>
        </w:rPr>
      </w:pPr>
    </w:p>
    <w:p w:rsidR="00F6696C" w:rsidRPr="0007625F" w:rsidRDefault="00F6696C" w:rsidP="00F6696C">
      <w:pPr>
        <w:autoSpaceDE w:val="0"/>
        <w:autoSpaceDN w:val="0"/>
        <w:adjustRightInd w:val="0"/>
        <w:spacing w:line="276" w:lineRule="auto"/>
        <w:jc w:val="both"/>
        <w:rPr>
          <w:rFonts w:eastAsia="AvenirNextLTPro-Bold" w:cs="AvenirNextLTPro-Bold"/>
          <w:b/>
          <w:bCs/>
          <w:sz w:val="22"/>
          <w:szCs w:val="22"/>
        </w:rPr>
      </w:pPr>
      <w:r>
        <w:rPr>
          <w:b/>
          <w:bCs/>
          <w:sz w:val="22"/>
          <w:szCs w:val="22"/>
        </w:rPr>
        <w:t>Nueva capacidad portante para las calzadas urbanas de San José.</w:t>
      </w:r>
    </w:p>
    <w:p w:rsidR="00F6696C" w:rsidRDefault="00F6696C" w:rsidP="00F6696C">
      <w:pPr>
        <w:autoSpaceDE w:val="0"/>
        <w:autoSpaceDN w:val="0"/>
        <w:adjustRightInd w:val="0"/>
        <w:spacing w:line="276" w:lineRule="auto"/>
        <w:jc w:val="both"/>
        <w:rPr>
          <w:rFonts w:eastAsia="AvenirNextLTPro-Bold" w:cs="AvenirNextLTPro-Regular"/>
          <w:sz w:val="22"/>
          <w:szCs w:val="22"/>
        </w:rPr>
      </w:pPr>
      <w:r>
        <w:rPr>
          <w:sz w:val="22"/>
          <w:szCs w:val="22"/>
        </w:rPr>
        <w:t xml:space="preserve">Lo mismo sucedió en la W Campbell Avenue, una de las calzadas principales de San José, en el centro del Silicon Valley. En este caso, el reciclador en frío de Wirtgen fresa con la fiabilidad acostumbrada primero la capa de asfalto dañada con un espesor de 10 cm y una anchura de 3,80 m, granula el material y lo mezcla con el cemento previamente esparcido (1 %). </w:t>
      </w:r>
    </w:p>
    <w:p w:rsidR="00F6696C" w:rsidRDefault="00F6696C" w:rsidP="00F6696C">
      <w:pPr>
        <w:autoSpaceDE w:val="0"/>
        <w:autoSpaceDN w:val="0"/>
        <w:adjustRightInd w:val="0"/>
        <w:spacing w:line="276" w:lineRule="auto"/>
        <w:jc w:val="both"/>
        <w:rPr>
          <w:rFonts w:eastAsia="AvenirNextLTPro-Bold" w:cs="AvenirNextLTPro-Regular"/>
          <w:sz w:val="22"/>
          <w:szCs w:val="22"/>
        </w:rPr>
      </w:pPr>
    </w:p>
    <w:p w:rsidR="00F6696C" w:rsidRDefault="00F6696C" w:rsidP="00F6696C">
      <w:pPr>
        <w:autoSpaceDE w:val="0"/>
        <w:autoSpaceDN w:val="0"/>
        <w:adjustRightInd w:val="0"/>
        <w:spacing w:line="276" w:lineRule="auto"/>
        <w:jc w:val="both"/>
        <w:rPr>
          <w:rFonts w:cs="AvenirNextLTPro-Regular"/>
          <w:sz w:val="22"/>
          <w:szCs w:val="22"/>
        </w:rPr>
      </w:pPr>
      <w:r>
        <w:rPr>
          <w:sz w:val="22"/>
          <w:szCs w:val="22"/>
        </w:rPr>
        <w:t xml:space="preserve">Dos camiones cisterna suministran betún caliente y agua al reciclador a través de unas tuberías flexibles acopladas. La adición de aire comprimido provoca que se produzca betún espumado. Unas barras pulverizadoras, controladas por microprocesadores, aseguran la adición precisa del betún espumado (en este caso un </w:t>
      </w:r>
      <w:r>
        <w:rPr>
          <w:sz w:val="22"/>
          <w:szCs w:val="22"/>
        </w:rPr>
        <w:lastRenderedPageBreak/>
        <w:t xml:space="preserve">2,5 %) en la cámara de mezcla, donde se mezcla óptimamente con el material granulado. A continuación, unos expulsores instalados en el rotor entregan </w:t>
      </w:r>
      <w:r w:rsidR="00E94A19">
        <w:rPr>
          <w:sz w:val="22"/>
          <w:szCs w:val="22"/>
        </w:rPr>
        <w:t xml:space="preserve">la mezcla </w:t>
      </w:r>
      <w:r>
        <w:rPr>
          <w:sz w:val="22"/>
          <w:szCs w:val="22"/>
        </w:rPr>
        <w:t>a la cinta de transporte de la 3800 CR.</w:t>
      </w:r>
    </w:p>
    <w:p w:rsidR="00F6696C" w:rsidRDefault="00F6696C" w:rsidP="00F6696C">
      <w:pPr>
        <w:autoSpaceDE w:val="0"/>
        <w:autoSpaceDN w:val="0"/>
        <w:adjustRightInd w:val="0"/>
        <w:spacing w:line="276" w:lineRule="auto"/>
        <w:jc w:val="both"/>
        <w:rPr>
          <w:rFonts w:cs="AvenirNextLTPro-Regular"/>
          <w:sz w:val="22"/>
          <w:szCs w:val="22"/>
        </w:rPr>
      </w:pPr>
    </w:p>
    <w:p w:rsidR="00F6696C" w:rsidRDefault="00F6696C" w:rsidP="00F6696C">
      <w:pPr>
        <w:autoSpaceDE w:val="0"/>
        <w:autoSpaceDN w:val="0"/>
        <w:adjustRightInd w:val="0"/>
        <w:spacing w:line="276" w:lineRule="auto"/>
        <w:jc w:val="both"/>
        <w:rPr>
          <w:rFonts w:cs="AvenirNextLTPro-Regular"/>
          <w:sz w:val="22"/>
          <w:szCs w:val="22"/>
        </w:rPr>
      </w:pPr>
      <w:r>
        <w:rPr>
          <w:sz w:val="22"/>
          <w:szCs w:val="22"/>
        </w:rPr>
        <w:t xml:space="preserve">Entre tanto, el tráfico, aparentemente nada impresionado, sigue fluyendo a la altura del teatro Starbright, esquina con la Fulton Street, pasando delante del tren de reciclaje, dado que el saneamiento se realiza en una sola operación sin camiones que salen de la fila del tráfico fluido y se vuelven a meter, lo que incrementa la seguridad y, a la vez, </w:t>
      </w:r>
      <w:r w:rsidR="00E422CB">
        <w:rPr>
          <w:sz w:val="22"/>
          <w:szCs w:val="22"/>
        </w:rPr>
        <w:t>descongestiona</w:t>
      </w:r>
      <w:r w:rsidR="003B6CD1">
        <w:rPr>
          <w:sz w:val="22"/>
          <w:szCs w:val="22"/>
        </w:rPr>
        <w:t xml:space="preserve"> </w:t>
      </w:r>
      <w:r>
        <w:rPr>
          <w:sz w:val="22"/>
          <w:szCs w:val="22"/>
        </w:rPr>
        <w:t>enormemente la red de carreteras.</w:t>
      </w:r>
    </w:p>
    <w:p w:rsidR="00F6696C" w:rsidRPr="0007625F" w:rsidRDefault="00F6696C" w:rsidP="00F6696C">
      <w:pPr>
        <w:autoSpaceDE w:val="0"/>
        <w:autoSpaceDN w:val="0"/>
        <w:adjustRightInd w:val="0"/>
        <w:spacing w:line="276" w:lineRule="auto"/>
        <w:jc w:val="both"/>
        <w:rPr>
          <w:rFonts w:cs="AvenirNextLTPro-Regular"/>
          <w:sz w:val="22"/>
          <w:szCs w:val="22"/>
        </w:rPr>
      </w:pPr>
    </w:p>
    <w:p w:rsidR="00F6696C" w:rsidRDefault="00F6696C" w:rsidP="00F6696C">
      <w:pPr>
        <w:autoSpaceDE w:val="0"/>
        <w:autoSpaceDN w:val="0"/>
        <w:adjustRightInd w:val="0"/>
        <w:spacing w:line="276" w:lineRule="auto"/>
        <w:jc w:val="both"/>
        <w:rPr>
          <w:rFonts w:cs="AvenirNextLTPro-Regular"/>
          <w:sz w:val="22"/>
          <w:szCs w:val="22"/>
        </w:rPr>
      </w:pPr>
      <w:r>
        <w:rPr>
          <w:sz w:val="22"/>
          <w:szCs w:val="22"/>
        </w:rPr>
        <w:t xml:space="preserve">La concepción del 3800 CR de Wirtgen prevé un rendimiento máximo para el desarrollo rápido del proyecto de saneamiento. Así, por ejemplo, el sistema de carga también ofrece una capacidad de transporte extremadamente elevada. La cinta giratoria de altura regulable entrega con rapidez el material al silo de material de la acabadora sobre orugas, la cual vuelve a extender y compactar previamente </w:t>
      </w:r>
      <w:r w:rsidR="00E94A19">
        <w:rPr>
          <w:sz w:val="22"/>
          <w:szCs w:val="22"/>
        </w:rPr>
        <w:t xml:space="preserve">la mezcla </w:t>
      </w:r>
      <w:r>
        <w:rPr>
          <w:sz w:val="22"/>
          <w:szCs w:val="22"/>
        </w:rPr>
        <w:t>con un espesor de 10 cm. El compactador tándem HD+ 110 VVHF y el compactador sobre neumáticos GRW 280i de HAMM se ocupan de la compactación final, para así conseguir una estructura cerrada y llana de la superficie.</w:t>
      </w:r>
    </w:p>
    <w:p w:rsidR="00F6696C" w:rsidRPr="0007625F" w:rsidRDefault="00F6696C" w:rsidP="00F6696C">
      <w:pPr>
        <w:autoSpaceDE w:val="0"/>
        <w:autoSpaceDN w:val="0"/>
        <w:adjustRightInd w:val="0"/>
        <w:spacing w:line="276" w:lineRule="auto"/>
        <w:jc w:val="both"/>
        <w:rPr>
          <w:rFonts w:cs="AvenirNextLTPro-Regular"/>
          <w:sz w:val="22"/>
          <w:szCs w:val="22"/>
        </w:rPr>
      </w:pPr>
    </w:p>
    <w:p w:rsidR="00F6696C" w:rsidRPr="0007625F" w:rsidRDefault="00F6696C" w:rsidP="00F6696C">
      <w:pPr>
        <w:autoSpaceDE w:val="0"/>
        <w:autoSpaceDN w:val="0"/>
        <w:adjustRightInd w:val="0"/>
        <w:spacing w:line="276" w:lineRule="auto"/>
        <w:jc w:val="both"/>
        <w:rPr>
          <w:rFonts w:eastAsia="AvenirNextLTPro-Bold" w:cs="AvenirNextLTPro-Bold"/>
          <w:b/>
          <w:bCs/>
          <w:sz w:val="22"/>
          <w:szCs w:val="22"/>
        </w:rPr>
      </w:pPr>
      <w:r>
        <w:rPr>
          <w:b/>
          <w:bCs/>
          <w:sz w:val="22"/>
          <w:szCs w:val="22"/>
        </w:rPr>
        <w:t>Un trabajo rentable y ecológico</w:t>
      </w:r>
    </w:p>
    <w:p w:rsidR="00F6696C" w:rsidRDefault="00F6696C" w:rsidP="00F6696C">
      <w:pPr>
        <w:autoSpaceDE w:val="0"/>
        <w:autoSpaceDN w:val="0"/>
        <w:adjustRightInd w:val="0"/>
        <w:spacing w:line="276" w:lineRule="auto"/>
        <w:jc w:val="both"/>
        <w:rPr>
          <w:rFonts w:cs="AvenirNextLTPro-Regular"/>
          <w:sz w:val="22"/>
          <w:szCs w:val="22"/>
        </w:rPr>
      </w:pPr>
      <w:r>
        <w:rPr>
          <w:sz w:val="22"/>
          <w:szCs w:val="22"/>
        </w:rPr>
        <w:t xml:space="preserve">Tras 100 millas y, gracias al reciclaje en frío in </w:t>
      </w:r>
      <w:r w:rsidR="00B87D74">
        <w:rPr>
          <w:sz w:val="22"/>
          <w:szCs w:val="22"/>
        </w:rPr>
        <w:t>situ, una</w:t>
      </w:r>
      <w:r>
        <w:rPr>
          <w:sz w:val="22"/>
          <w:szCs w:val="22"/>
        </w:rPr>
        <w:t xml:space="preserve"> duración corta de las obras, Bob Garrigan, superintendente de MCK Services, comenta satisfecho: «Con el reciclador 3800 CR de Wirtgen pudimos cumplir plenamente las especificaciones técnicas del procedimiento y las directivas económicas impuestas por el gobierno de la ciudad de San José». </w:t>
      </w:r>
    </w:p>
    <w:p w:rsidR="00F6696C" w:rsidRDefault="00F6696C" w:rsidP="00F6696C">
      <w:pPr>
        <w:autoSpaceDE w:val="0"/>
        <w:autoSpaceDN w:val="0"/>
        <w:adjustRightInd w:val="0"/>
        <w:spacing w:line="276" w:lineRule="auto"/>
        <w:jc w:val="both"/>
        <w:rPr>
          <w:rFonts w:cs="AvenirNextLTPro-Regular"/>
          <w:sz w:val="22"/>
          <w:szCs w:val="22"/>
        </w:rPr>
      </w:pPr>
    </w:p>
    <w:p w:rsidR="00F6696C" w:rsidRDefault="00F6696C" w:rsidP="00F6696C">
      <w:pPr>
        <w:autoSpaceDE w:val="0"/>
        <w:autoSpaceDN w:val="0"/>
        <w:adjustRightInd w:val="0"/>
        <w:spacing w:line="276" w:lineRule="auto"/>
        <w:jc w:val="both"/>
        <w:rPr>
          <w:rFonts w:cs="Tahoma"/>
          <w:color w:val="000000"/>
          <w:sz w:val="22"/>
          <w:szCs w:val="22"/>
        </w:rPr>
      </w:pPr>
      <w:r>
        <w:rPr>
          <w:sz w:val="22"/>
          <w:szCs w:val="22"/>
        </w:rPr>
        <w:t xml:space="preserve">Al final, las cifras hablan por sí mismas: tan solo las 9600 (90 %) </w:t>
      </w:r>
      <w:r w:rsidRPr="00E0541B">
        <w:rPr>
          <w:sz w:val="22"/>
          <w:szCs w:val="22"/>
        </w:rPr>
        <w:t>horas de camión</w:t>
      </w:r>
      <w:r w:rsidR="001602B7">
        <w:rPr>
          <w:sz w:val="22"/>
          <w:szCs w:val="22"/>
        </w:rPr>
        <w:t>, de las que se pudo prescindir,</w:t>
      </w:r>
      <w:r w:rsidR="00E0541B">
        <w:rPr>
          <w:sz w:val="22"/>
          <w:szCs w:val="22"/>
        </w:rPr>
        <w:t xml:space="preserve"> </w:t>
      </w:r>
      <w:r>
        <w:rPr>
          <w:sz w:val="22"/>
          <w:szCs w:val="22"/>
        </w:rPr>
        <w:t xml:space="preserve">redujeron considerablemente las emisiones de </w:t>
      </w:r>
      <w:r>
        <w:rPr>
          <w:color w:val="000000"/>
          <w:sz w:val="22"/>
          <w:szCs w:val="22"/>
        </w:rPr>
        <w:t>CO</w:t>
      </w:r>
      <w:r>
        <w:rPr>
          <w:color w:val="000000"/>
          <w:sz w:val="22"/>
          <w:szCs w:val="22"/>
          <w:vertAlign w:val="subscript"/>
        </w:rPr>
        <w:t xml:space="preserve">2 </w:t>
      </w:r>
      <w:r>
        <w:rPr>
          <w:color w:val="000000"/>
          <w:sz w:val="22"/>
          <w:szCs w:val="22"/>
        </w:rPr>
        <w:t>y el consumo de combustible, así como el tráfico de obras en las calzadas, por las que diariamente circulan entre 12 000 y 35 000 vehículos. A fin de cuentas, el gobierno consiguió ahorrar aproximadamente un millón y medio de dólares estadounidenses.</w:t>
      </w:r>
    </w:p>
    <w:p w:rsidR="00F6696C" w:rsidRDefault="00F6696C" w:rsidP="00F6696C">
      <w:pPr>
        <w:autoSpaceDE w:val="0"/>
        <w:autoSpaceDN w:val="0"/>
        <w:adjustRightInd w:val="0"/>
        <w:spacing w:line="276" w:lineRule="auto"/>
        <w:jc w:val="both"/>
        <w:rPr>
          <w:rFonts w:cs="Tahoma"/>
          <w:color w:val="000000"/>
          <w:sz w:val="22"/>
          <w:szCs w:val="22"/>
        </w:rPr>
      </w:pPr>
    </w:p>
    <w:p w:rsidR="00D416D9" w:rsidRDefault="00F6696C" w:rsidP="00F6696C">
      <w:pPr>
        <w:autoSpaceDE w:val="0"/>
        <w:autoSpaceDN w:val="0"/>
        <w:adjustRightInd w:val="0"/>
        <w:spacing w:line="276" w:lineRule="auto"/>
        <w:jc w:val="both"/>
        <w:rPr>
          <w:rFonts w:cs="Tahoma"/>
          <w:color w:val="000000"/>
          <w:sz w:val="22"/>
          <w:szCs w:val="22"/>
        </w:rPr>
      </w:pPr>
      <w:r>
        <w:rPr>
          <w:color w:val="000000"/>
          <w:sz w:val="22"/>
          <w:szCs w:val="22"/>
        </w:rPr>
        <w:t>También Frank Farshidi, jefe de proyecto del gobierno de la ciudad de San José, saca una conclusión positiva: «el reciclaje en frío cumple las más elevadas exigencias de calidad, es muy rentable y ecológico y casi no afecta el tráfico.</w:t>
      </w:r>
    </w:p>
    <w:p w:rsidR="00D416D9" w:rsidRDefault="00D416D9" w:rsidP="00D416D9">
      <w:pPr>
        <w:pStyle w:val="Text"/>
      </w:pPr>
    </w:p>
    <w:p w:rsidR="00CC4B84" w:rsidRPr="0007625F" w:rsidRDefault="00CC4B84" w:rsidP="00465809">
      <w:pPr>
        <w:autoSpaceDE w:val="0"/>
        <w:autoSpaceDN w:val="0"/>
        <w:adjustRightInd w:val="0"/>
        <w:rPr>
          <w:rFonts w:eastAsia="AvenirNextLTPro-Bold" w:cs="AvenirNextLTPro-Bold"/>
          <w:b/>
          <w:bCs/>
          <w:sz w:val="22"/>
          <w:szCs w:val="22"/>
        </w:rPr>
      </w:pPr>
      <w:r>
        <w:rPr>
          <w:b/>
          <w:bCs/>
          <w:sz w:val="22"/>
          <w:szCs w:val="22"/>
        </w:rPr>
        <w:t>Datos de la obra</w:t>
      </w:r>
    </w:p>
    <w:p w:rsidR="00CC4B84" w:rsidRPr="00234BE6" w:rsidRDefault="00CC4B84" w:rsidP="00465809">
      <w:pPr>
        <w:autoSpaceDE w:val="0"/>
        <w:autoSpaceDN w:val="0"/>
        <w:adjustRightInd w:val="0"/>
        <w:rPr>
          <w:rFonts w:eastAsia="AvenirNextLTPro-Bold" w:cs="AvenirNextLTPro-Regular"/>
          <w:sz w:val="20"/>
          <w:szCs w:val="20"/>
        </w:rPr>
      </w:pPr>
      <w:r>
        <w:rPr>
          <w:sz w:val="20"/>
          <w:szCs w:val="20"/>
        </w:rPr>
        <w:t>Saneamiento de las calzadas principales y laterales de la ciudad de San José, California.</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t xml:space="preserve">Costes: </w:t>
      </w:r>
      <w:r>
        <w:rPr>
          <w:sz w:val="20"/>
          <w:szCs w:val="20"/>
        </w:rPr>
        <w:tab/>
      </w:r>
      <w:r w:rsidR="00B87D74">
        <w:rPr>
          <w:sz w:val="20"/>
          <w:szCs w:val="20"/>
        </w:rPr>
        <w:tab/>
      </w:r>
      <w:r w:rsidR="00B87D74">
        <w:rPr>
          <w:sz w:val="20"/>
          <w:szCs w:val="20"/>
        </w:rPr>
        <w:tab/>
      </w:r>
      <w:r w:rsidR="00B87D74">
        <w:rPr>
          <w:sz w:val="20"/>
          <w:szCs w:val="20"/>
        </w:rPr>
        <w:tab/>
      </w:r>
      <w:r w:rsidRPr="000778AB">
        <w:rPr>
          <w:sz w:val="20"/>
          <w:szCs w:val="20"/>
        </w:rPr>
        <w:t>US</w:t>
      </w:r>
      <w:r>
        <w:rPr>
          <w:sz w:val="20"/>
          <w:szCs w:val="20"/>
        </w:rPr>
        <w:t> $ 13 703 110</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t xml:space="preserve">Longitud del proyecto de construcción: </w:t>
      </w:r>
      <w:r>
        <w:rPr>
          <w:sz w:val="20"/>
          <w:szCs w:val="20"/>
        </w:rPr>
        <w:tab/>
      </w:r>
      <w:r w:rsidR="00B87D74">
        <w:rPr>
          <w:sz w:val="20"/>
          <w:szCs w:val="20"/>
        </w:rPr>
        <w:tab/>
      </w:r>
      <w:r>
        <w:rPr>
          <w:sz w:val="20"/>
          <w:szCs w:val="20"/>
        </w:rPr>
        <w:t>100 millas</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t xml:space="preserve">Superficie del proyecto de construcción: </w:t>
      </w:r>
      <w:r>
        <w:rPr>
          <w:sz w:val="20"/>
          <w:szCs w:val="20"/>
        </w:rPr>
        <w:tab/>
      </w:r>
      <w:r w:rsidR="00B87D74">
        <w:rPr>
          <w:sz w:val="20"/>
          <w:szCs w:val="20"/>
        </w:rPr>
        <w:tab/>
        <w:t>224.000 m²</w:t>
      </w:r>
    </w:p>
    <w:p w:rsidR="00CC4B84" w:rsidRPr="00234BE6" w:rsidRDefault="00CC4B84" w:rsidP="00465809">
      <w:pPr>
        <w:tabs>
          <w:tab w:val="left" w:pos="3402"/>
        </w:tabs>
        <w:autoSpaceDE w:val="0"/>
        <w:autoSpaceDN w:val="0"/>
        <w:adjustRightInd w:val="0"/>
        <w:rPr>
          <w:rFonts w:eastAsia="AvenirNextLTPro-Bold" w:cs="AvenirNextLTPro-Bold"/>
          <w:b/>
          <w:bCs/>
          <w:sz w:val="20"/>
          <w:szCs w:val="20"/>
        </w:rPr>
      </w:pPr>
      <w:r>
        <w:rPr>
          <w:b/>
          <w:bCs/>
          <w:sz w:val="20"/>
          <w:szCs w:val="20"/>
        </w:rPr>
        <w:t>Parámetros de trabajo</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t xml:space="preserve">Anchura del proyecto de construcción: </w:t>
      </w:r>
      <w:r>
        <w:rPr>
          <w:sz w:val="20"/>
          <w:szCs w:val="20"/>
        </w:rPr>
        <w:tab/>
      </w:r>
      <w:r w:rsidR="00B87D74">
        <w:rPr>
          <w:sz w:val="20"/>
          <w:szCs w:val="20"/>
        </w:rPr>
        <w:tab/>
      </w:r>
      <w:r>
        <w:rPr>
          <w:sz w:val="20"/>
          <w:szCs w:val="20"/>
        </w:rPr>
        <w:t>3,80 – 4,90 m</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t xml:space="preserve">Espesor de extendido: </w:t>
      </w:r>
      <w:r>
        <w:rPr>
          <w:sz w:val="20"/>
          <w:szCs w:val="20"/>
        </w:rPr>
        <w:tab/>
      </w:r>
      <w:r w:rsidR="00B87D74">
        <w:rPr>
          <w:sz w:val="20"/>
          <w:szCs w:val="20"/>
        </w:rPr>
        <w:tab/>
      </w:r>
      <w:r w:rsidR="00B87D74">
        <w:rPr>
          <w:sz w:val="20"/>
          <w:szCs w:val="20"/>
        </w:rPr>
        <w:tab/>
      </w:r>
      <w:r w:rsidR="00B87D74">
        <w:rPr>
          <w:sz w:val="20"/>
          <w:szCs w:val="20"/>
        </w:rPr>
        <w:tab/>
      </w:r>
      <w:r>
        <w:rPr>
          <w:sz w:val="20"/>
          <w:szCs w:val="20"/>
        </w:rPr>
        <w:t>10 cm</w:t>
      </w:r>
    </w:p>
    <w:p w:rsidR="00CC4B84" w:rsidRPr="00234BE6" w:rsidRDefault="00CC4B84" w:rsidP="00465809">
      <w:pPr>
        <w:tabs>
          <w:tab w:val="left" w:pos="3402"/>
        </w:tabs>
        <w:autoSpaceDE w:val="0"/>
        <w:autoSpaceDN w:val="0"/>
        <w:adjustRightInd w:val="0"/>
        <w:rPr>
          <w:rFonts w:eastAsia="AvenirNextLTPro-Bold" w:cs="AvenirNextLTPro-Bold"/>
          <w:b/>
          <w:bCs/>
          <w:sz w:val="20"/>
          <w:szCs w:val="20"/>
        </w:rPr>
      </w:pPr>
      <w:r>
        <w:rPr>
          <w:b/>
          <w:bCs/>
          <w:sz w:val="20"/>
          <w:szCs w:val="20"/>
        </w:rPr>
        <w:t>Material</w:t>
      </w:r>
    </w:p>
    <w:p w:rsidR="00CC4B84" w:rsidRPr="00234BE6" w:rsidRDefault="008636D4" w:rsidP="00465809">
      <w:pPr>
        <w:tabs>
          <w:tab w:val="left" w:pos="3402"/>
        </w:tabs>
        <w:autoSpaceDE w:val="0"/>
        <w:autoSpaceDN w:val="0"/>
        <w:adjustRightInd w:val="0"/>
        <w:rPr>
          <w:rFonts w:cs="AvenirNextLTPro-Regular"/>
          <w:sz w:val="20"/>
          <w:szCs w:val="20"/>
        </w:rPr>
      </w:pPr>
      <w:r>
        <w:rPr>
          <w:sz w:val="20"/>
          <w:szCs w:val="20"/>
        </w:rPr>
        <w:t xml:space="preserve">Volumen de extendido: </w:t>
      </w:r>
      <w:r>
        <w:rPr>
          <w:sz w:val="20"/>
          <w:szCs w:val="20"/>
        </w:rPr>
        <w:tab/>
      </w:r>
      <w:r w:rsidR="00B87D74">
        <w:rPr>
          <w:sz w:val="20"/>
          <w:szCs w:val="20"/>
        </w:rPr>
        <w:tab/>
      </w:r>
      <w:r w:rsidR="00B87D74">
        <w:rPr>
          <w:sz w:val="20"/>
          <w:szCs w:val="20"/>
        </w:rPr>
        <w:tab/>
      </w:r>
      <w:r w:rsidR="00B87D74">
        <w:rPr>
          <w:sz w:val="20"/>
          <w:szCs w:val="20"/>
        </w:rPr>
        <w:tab/>
      </w:r>
      <w:r>
        <w:rPr>
          <w:sz w:val="20"/>
          <w:szCs w:val="20"/>
        </w:rPr>
        <w:t>50 545 t de asfalto</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lastRenderedPageBreak/>
        <w:t xml:space="preserve">Porcentaje de betún espumado: </w:t>
      </w:r>
      <w:r>
        <w:rPr>
          <w:sz w:val="20"/>
          <w:szCs w:val="20"/>
        </w:rPr>
        <w:tab/>
      </w:r>
      <w:r w:rsidR="00B87D74">
        <w:rPr>
          <w:sz w:val="20"/>
          <w:szCs w:val="20"/>
        </w:rPr>
        <w:tab/>
      </w:r>
      <w:r w:rsidR="00B87D74">
        <w:rPr>
          <w:sz w:val="20"/>
          <w:szCs w:val="20"/>
        </w:rPr>
        <w:tab/>
      </w:r>
      <w:r w:rsidR="00B87D74">
        <w:rPr>
          <w:sz w:val="20"/>
          <w:szCs w:val="20"/>
        </w:rPr>
        <w:tab/>
      </w:r>
      <w:r>
        <w:rPr>
          <w:sz w:val="20"/>
          <w:szCs w:val="20"/>
        </w:rPr>
        <w:t>2,5 %</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t xml:space="preserve">Porcentaje de cemento: </w:t>
      </w:r>
      <w:r>
        <w:rPr>
          <w:sz w:val="20"/>
          <w:szCs w:val="20"/>
        </w:rPr>
        <w:tab/>
      </w:r>
      <w:r w:rsidR="00B87D74">
        <w:rPr>
          <w:sz w:val="20"/>
          <w:szCs w:val="20"/>
        </w:rPr>
        <w:tab/>
      </w:r>
      <w:r w:rsidR="00B87D74">
        <w:rPr>
          <w:sz w:val="20"/>
          <w:szCs w:val="20"/>
        </w:rPr>
        <w:tab/>
      </w:r>
      <w:r w:rsidR="00B87D74">
        <w:rPr>
          <w:sz w:val="20"/>
          <w:szCs w:val="20"/>
        </w:rPr>
        <w:tab/>
      </w:r>
      <w:r>
        <w:rPr>
          <w:sz w:val="20"/>
          <w:szCs w:val="20"/>
        </w:rPr>
        <w:t>1 %</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t xml:space="preserve">Contenido óptimo de humedad: </w:t>
      </w:r>
      <w:r>
        <w:rPr>
          <w:sz w:val="20"/>
          <w:szCs w:val="20"/>
        </w:rPr>
        <w:tab/>
      </w:r>
      <w:r w:rsidR="00B87D74">
        <w:rPr>
          <w:sz w:val="20"/>
          <w:szCs w:val="20"/>
        </w:rPr>
        <w:tab/>
      </w:r>
      <w:r w:rsidR="00B87D74">
        <w:rPr>
          <w:sz w:val="20"/>
          <w:szCs w:val="20"/>
        </w:rPr>
        <w:tab/>
      </w:r>
      <w:r w:rsidR="00B87D74">
        <w:rPr>
          <w:sz w:val="20"/>
          <w:szCs w:val="20"/>
        </w:rPr>
        <w:tab/>
      </w:r>
      <w:r>
        <w:rPr>
          <w:sz w:val="20"/>
          <w:szCs w:val="20"/>
        </w:rPr>
        <w:t>5-7 %</w:t>
      </w:r>
    </w:p>
    <w:p w:rsidR="00CC4B84" w:rsidRPr="00234BE6" w:rsidRDefault="00CC4B84" w:rsidP="00465809">
      <w:pPr>
        <w:tabs>
          <w:tab w:val="left" w:pos="3402"/>
        </w:tabs>
        <w:autoSpaceDE w:val="0"/>
        <w:autoSpaceDN w:val="0"/>
        <w:adjustRightInd w:val="0"/>
        <w:rPr>
          <w:rFonts w:eastAsia="AvenirNextLTPro-Bold" w:cs="AvenirNextLTPro-Bold"/>
          <w:b/>
          <w:bCs/>
          <w:sz w:val="20"/>
          <w:szCs w:val="20"/>
        </w:rPr>
      </w:pPr>
      <w:r>
        <w:rPr>
          <w:b/>
          <w:bCs/>
          <w:sz w:val="20"/>
          <w:szCs w:val="20"/>
        </w:rPr>
        <w:t>Máquinas empleadas</w:t>
      </w:r>
    </w:p>
    <w:p w:rsidR="00CC4B84" w:rsidRPr="00234BE6" w:rsidRDefault="00CC4B84" w:rsidP="00465809">
      <w:pPr>
        <w:tabs>
          <w:tab w:val="left" w:pos="3402"/>
        </w:tabs>
        <w:autoSpaceDE w:val="0"/>
        <w:autoSpaceDN w:val="0"/>
        <w:adjustRightInd w:val="0"/>
        <w:rPr>
          <w:rFonts w:cs="AvenirNextLTPro-Regular"/>
          <w:sz w:val="20"/>
          <w:szCs w:val="20"/>
        </w:rPr>
      </w:pPr>
      <w:r>
        <w:rPr>
          <w:sz w:val="20"/>
          <w:szCs w:val="20"/>
        </w:rPr>
        <w:t>Reciclador en frío 3800 CR de Wirtgen</w:t>
      </w:r>
    </w:p>
    <w:p w:rsidR="00CC4B84" w:rsidRPr="00B5007D" w:rsidRDefault="008636D4" w:rsidP="00465809">
      <w:pPr>
        <w:tabs>
          <w:tab w:val="left" w:pos="3402"/>
        </w:tabs>
        <w:autoSpaceDE w:val="0"/>
        <w:autoSpaceDN w:val="0"/>
        <w:adjustRightInd w:val="0"/>
        <w:rPr>
          <w:rFonts w:cs="AvenirNextLTPro-Regular"/>
          <w:sz w:val="20"/>
          <w:szCs w:val="20"/>
          <w:lang w:val="pt-BR"/>
        </w:rPr>
      </w:pPr>
      <w:r w:rsidRPr="00B5007D">
        <w:rPr>
          <w:sz w:val="20"/>
          <w:szCs w:val="20"/>
          <w:lang w:val="pt-BR"/>
        </w:rPr>
        <w:t>Acabadora VISION 5200-2i de Vögele</w:t>
      </w:r>
    </w:p>
    <w:p w:rsidR="00CC4B84" w:rsidRPr="00B5007D" w:rsidRDefault="008636D4" w:rsidP="00465809">
      <w:pPr>
        <w:tabs>
          <w:tab w:val="left" w:pos="3402"/>
        </w:tabs>
        <w:autoSpaceDE w:val="0"/>
        <w:autoSpaceDN w:val="0"/>
        <w:adjustRightInd w:val="0"/>
        <w:rPr>
          <w:rFonts w:cs="AvenirNextLTPro-Regular"/>
          <w:sz w:val="20"/>
          <w:szCs w:val="20"/>
          <w:lang w:val="pt-BR"/>
        </w:rPr>
      </w:pPr>
      <w:r w:rsidRPr="00B5007D">
        <w:rPr>
          <w:sz w:val="20"/>
          <w:szCs w:val="20"/>
          <w:lang w:val="pt-BR"/>
        </w:rPr>
        <w:t>Compactador tándem HD+ 110 VV HF de Hamm</w:t>
      </w:r>
    </w:p>
    <w:p w:rsidR="00CC4B84" w:rsidRPr="00B5007D" w:rsidRDefault="008636D4" w:rsidP="00465809">
      <w:pPr>
        <w:tabs>
          <w:tab w:val="left" w:pos="3402"/>
        </w:tabs>
        <w:autoSpaceDE w:val="0"/>
        <w:autoSpaceDN w:val="0"/>
        <w:adjustRightInd w:val="0"/>
        <w:rPr>
          <w:sz w:val="20"/>
          <w:szCs w:val="20"/>
          <w:lang w:val="pt-BR"/>
        </w:rPr>
      </w:pPr>
      <w:r w:rsidRPr="00B5007D">
        <w:rPr>
          <w:sz w:val="20"/>
          <w:szCs w:val="20"/>
          <w:lang w:val="pt-BR"/>
        </w:rPr>
        <w:t>Compactador sobre neumáticos GRW 280i-20 de Hamm</w:t>
      </w:r>
    </w:p>
    <w:p w:rsidR="00CC4B84" w:rsidRPr="00B5007D" w:rsidRDefault="00CC4B84" w:rsidP="00465809">
      <w:pPr>
        <w:autoSpaceDE w:val="0"/>
        <w:autoSpaceDN w:val="0"/>
        <w:adjustRightInd w:val="0"/>
        <w:spacing w:line="276" w:lineRule="auto"/>
        <w:jc w:val="both"/>
        <w:rPr>
          <w:rFonts w:cs="Tahoma"/>
          <w:color w:val="000000"/>
          <w:sz w:val="22"/>
          <w:szCs w:val="22"/>
          <w:lang w:val="pt-BR"/>
        </w:rPr>
      </w:pPr>
    </w:p>
    <w:p w:rsidR="00D416D9" w:rsidRPr="00B5007D" w:rsidRDefault="00D416D9" w:rsidP="00D416D9">
      <w:pPr>
        <w:rPr>
          <w:lang w:val="pt-BR"/>
        </w:rPr>
      </w:pPr>
    </w:p>
    <w:p w:rsidR="00D166AC" w:rsidRPr="00B5007D" w:rsidRDefault="002844EF" w:rsidP="00C644CA">
      <w:pPr>
        <w:pStyle w:val="HeadlineFotos"/>
        <w:rPr>
          <w:lang w:val="pt-BR"/>
        </w:rPr>
      </w:pPr>
      <w:r w:rsidRPr="00B5007D">
        <w:rPr>
          <w:rFonts w:ascii="Verdana" w:hAnsi="Verdana"/>
          <w:caps w:val="0"/>
          <w:szCs w:val="22"/>
          <w:lang w:val="pt-BR"/>
        </w:rPr>
        <w:t>Fotos</w:t>
      </w:r>
      <w:r w:rsidRPr="00B5007D">
        <w:rPr>
          <w:lang w:val="pt-BR"/>
        </w:rPr>
        <w:t>:</w:t>
      </w:r>
    </w:p>
    <w:tbl>
      <w:tblPr>
        <w:tblStyle w:val="Basic"/>
        <w:tblW w:w="0" w:type="auto"/>
        <w:tblCellSpacing w:w="71" w:type="dxa"/>
        <w:tblLook w:val="04A0" w:firstRow="1" w:lastRow="0" w:firstColumn="1" w:lastColumn="0" w:noHBand="0" w:noVBand="1"/>
      </w:tblPr>
      <w:tblGrid>
        <w:gridCol w:w="4998"/>
        <w:gridCol w:w="4810"/>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18EDD887" wp14:editId="77985FD9">
                  <wp:extent cx="2668376" cy="1501937"/>
                  <wp:effectExtent l="0" t="0" r="0" b="317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6" cy="1501937"/>
                          </a:xfrm>
                          <a:prstGeom prst="rect">
                            <a:avLst/>
                          </a:prstGeom>
                          <a:noFill/>
                          <a:ln>
                            <a:noFill/>
                          </a:ln>
                        </pic:spPr>
                      </pic:pic>
                    </a:graphicData>
                  </a:graphic>
                </wp:inline>
              </w:drawing>
            </w:r>
          </w:p>
        </w:tc>
        <w:tc>
          <w:tcPr>
            <w:tcW w:w="4832" w:type="dxa"/>
          </w:tcPr>
          <w:p w:rsidR="0014683F" w:rsidRDefault="00432BF4" w:rsidP="0014683F">
            <w:pPr>
              <w:pStyle w:val="berschrift3"/>
              <w:outlineLvl w:val="2"/>
            </w:pPr>
            <w:r>
              <w:t>3800CR_00230</w:t>
            </w:r>
          </w:p>
          <w:p w:rsidR="00D166AC" w:rsidRPr="005B3697" w:rsidRDefault="00F6696C" w:rsidP="00D416D9">
            <w:pPr>
              <w:pStyle w:val="Text"/>
              <w:rPr>
                <w:sz w:val="20"/>
              </w:rPr>
            </w:pPr>
            <w:r>
              <w:rPr>
                <w:rFonts w:asciiTheme="majorHAnsi" w:hAnsiTheme="majorHAnsi"/>
                <w:bCs/>
                <w:sz w:val="20"/>
              </w:rPr>
              <w:t>Una característica especial del proyecto de San José fue el hecho de que las obras estaban repartidas por todo el centro de esta cuidad de varios millones de habitantes.</w:t>
            </w:r>
            <w:r>
              <w:rPr>
                <w:sz w:val="20"/>
              </w:rPr>
              <w:t xml:space="preserve"> Pero esto no constituyó ningún problema, ya que el transporte del reciclador en frío 3800 CR de Wirtgen se realizó con toda facilidad mediante un remolque de plataforma baja.</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F6696C"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E3DE1" w:rsidRDefault="00AE3DE1" w:rsidP="00874B1F"/>
          <w:p w:rsidR="00AE3DE1" w:rsidRDefault="00AE3DE1" w:rsidP="00874B1F"/>
          <w:p w:rsidR="00AE3DE1" w:rsidRDefault="00AE3DE1" w:rsidP="00874B1F"/>
          <w:p w:rsidR="00F6696C" w:rsidRDefault="00F6696C" w:rsidP="00874B1F">
            <w:r>
              <w:rPr>
                <w:noProof/>
                <w:lang w:val="de-DE" w:eastAsia="de-DE"/>
              </w:rPr>
              <w:drawing>
                <wp:inline distT="0" distB="0" distL="0" distR="0" wp14:anchorId="2BA1F980" wp14:editId="7FED6C1A">
                  <wp:extent cx="2668376" cy="1501937"/>
                  <wp:effectExtent l="0" t="0" r="0" b="317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6" cy="1501937"/>
                          </a:xfrm>
                          <a:prstGeom prst="rect">
                            <a:avLst/>
                          </a:prstGeom>
                          <a:noFill/>
                          <a:ln>
                            <a:noFill/>
                          </a:ln>
                        </pic:spPr>
                      </pic:pic>
                    </a:graphicData>
                  </a:graphic>
                </wp:inline>
              </w:drawing>
            </w:r>
          </w:p>
          <w:p w:rsidR="00AE3DE1" w:rsidRPr="00D166AC" w:rsidRDefault="00AE3DE1" w:rsidP="00874B1F"/>
        </w:tc>
        <w:tc>
          <w:tcPr>
            <w:tcW w:w="4832" w:type="dxa"/>
          </w:tcPr>
          <w:p w:rsidR="00F6696C" w:rsidRDefault="00432BF4" w:rsidP="00874B1F">
            <w:pPr>
              <w:pStyle w:val="berschrift3"/>
              <w:outlineLvl w:val="2"/>
            </w:pPr>
            <w:r>
              <w:t>3800CR_00196</w:t>
            </w:r>
          </w:p>
          <w:p w:rsidR="00F6696C" w:rsidRPr="005B3697" w:rsidRDefault="001104E6" w:rsidP="008636D4">
            <w:pPr>
              <w:pStyle w:val="Text"/>
              <w:jc w:val="left"/>
              <w:rPr>
                <w:sz w:val="20"/>
              </w:rPr>
            </w:pPr>
            <w:r>
              <w:rPr>
                <w:sz w:val="20"/>
              </w:rPr>
              <w:t xml:space="preserve">El rotor de fresado y mezcla del 3800 CR de Wirtgen granula las capas de asfalto hasta una profundidad de 18 cm. Al mismo tiempo se agrega el cemento y, a través de las barras de inyección, se inyectan agua y emulsión bituminosa, o bien, betún espumado en la cámara de mezcla. La cinta de descarga transporta el material de construcción tratado directamente a la tolva </w:t>
            </w:r>
            <w:r w:rsidR="00F659FE" w:rsidRPr="00BC10C6">
              <w:rPr>
                <w:sz w:val="20"/>
              </w:rPr>
              <w:t>receptora</w:t>
            </w:r>
            <w:r>
              <w:rPr>
                <w:sz w:val="20"/>
              </w:rPr>
              <w:t xml:space="preserve"> de la acabadora de Vögele, la cual lo extiende de acuerdo con el perfil y la posición requeridos. A continuación, unos compactadores de Hamm se ocupan de la compactación.</w:t>
            </w:r>
          </w:p>
        </w:tc>
      </w:tr>
    </w:tbl>
    <w:p w:rsidR="00F6696C" w:rsidRDefault="00F6696C" w:rsidP="00D166AC">
      <w:pPr>
        <w:pStyle w:val="Text"/>
      </w:pPr>
    </w:p>
    <w:p w:rsidR="008636D4" w:rsidRDefault="008636D4" w:rsidP="00D166AC">
      <w:pPr>
        <w:pStyle w:val="Text"/>
      </w:pPr>
    </w:p>
    <w:tbl>
      <w:tblPr>
        <w:tblStyle w:val="Basic"/>
        <w:tblW w:w="0" w:type="auto"/>
        <w:tblCellSpacing w:w="71" w:type="dxa"/>
        <w:tblLook w:val="04A0" w:firstRow="1" w:lastRow="0" w:firstColumn="1" w:lastColumn="0" w:noHBand="0" w:noVBand="1"/>
      </w:tblPr>
      <w:tblGrid>
        <w:gridCol w:w="4976"/>
        <w:gridCol w:w="4832"/>
      </w:tblGrid>
      <w:tr w:rsidR="00F6696C"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6696C" w:rsidRPr="00D166AC" w:rsidRDefault="00F6696C" w:rsidP="00874B1F">
            <w:r>
              <w:rPr>
                <w:noProof/>
                <w:lang w:val="de-DE" w:eastAsia="de-DE"/>
              </w:rPr>
              <w:lastRenderedPageBreak/>
              <w:drawing>
                <wp:inline distT="0" distB="0" distL="0" distR="0" wp14:anchorId="52592205" wp14:editId="407B0E55">
                  <wp:extent cx="2646805" cy="1960411"/>
                  <wp:effectExtent l="0" t="0" r="1270" b="190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46805" cy="1960411"/>
                          </a:xfrm>
                          <a:prstGeom prst="rect">
                            <a:avLst/>
                          </a:prstGeom>
                          <a:noFill/>
                          <a:ln>
                            <a:noFill/>
                          </a:ln>
                        </pic:spPr>
                      </pic:pic>
                    </a:graphicData>
                  </a:graphic>
                </wp:inline>
              </w:drawing>
            </w:r>
          </w:p>
        </w:tc>
        <w:tc>
          <w:tcPr>
            <w:tcW w:w="4832" w:type="dxa"/>
          </w:tcPr>
          <w:p w:rsidR="00F6696C" w:rsidRDefault="00315DE1" w:rsidP="00874B1F">
            <w:pPr>
              <w:pStyle w:val="berschrift3"/>
              <w:outlineLvl w:val="2"/>
            </w:pPr>
            <w:r>
              <w:t>Upcut W_G_3800CR_00035_HI</w:t>
            </w:r>
          </w:p>
          <w:p w:rsidR="00F6696C" w:rsidRPr="005B3697" w:rsidRDefault="00310C16" w:rsidP="004720EE">
            <w:pPr>
              <w:pStyle w:val="Text"/>
              <w:jc w:val="left"/>
              <w:rPr>
                <w:sz w:val="20"/>
              </w:rPr>
            </w:pPr>
            <w:r>
              <w:rPr>
                <w:rFonts w:asciiTheme="majorHAnsi" w:hAnsiTheme="majorHAnsi"/>
                <w:bCs/>
                <w:sz w:val="20"/>
              </w:rPr>
              <w:t xml:space="preserve">Procedimiento de Upcut de Wirtgen: el rotor de fresado y mezcla trabaja en sentido opuesto al avance y garantiza </w:t>
            </w:r>
            <w:r w:rsidR="00B87D74">
              <w:rPr>
                <w:rFonts w:asciiTheme="majorHAnsi" w:hAnsiTheme="majorHAnsi"/>
                <w:bCs/>
                <w:sz w:val="20"/>
              </w:rPr>
              <w:t>una gran productividad</w:t>
            </w:r>
            <w:r>
              <w:rPr>
                <w:rFonts w:asciiTheme="majorHAnsi" w:hAnsiTheme="majorHAnsi"/>
                <w:bCs/>
                <w:sz w:val="20"/>
              </w:rPr>
              <w:t>.</w:t>
            </w:r>
          </w:p>
        </w:tc>
      </w:tr>
    </w:tbl>
    <w:p w:rsidR="00F6696C" w:rsidRDefault="00F6696C" w:rsidP="00D166AC">
      <w:pPr>
        <w:pStyle w:val="Text"/>
      </w:pPr>
    </w:p>
    <w:tbl>
      <w:tblPr>
        <w:tblStyle w:val="Basic"/>
        <w:tblW w:w="0" w:type="auto"/>
        <w:tblCellSpacing w:w="71" w:type="dxa"/>
        <w:tblLook w:val="04A0" w:firstRow="1" w:lastRow="0" w:firstColumn="1" w:lastColumn="0" w:noHBand="0" w:noVBand="1"/>
      </w:tblPr>
      <w:tblGrid>
        <w:gridCol w:w="4976"/>
        <w:gridCol w:w="4832"/>
      </w:tblGrid>
      <w:tr w:rsidR="00F6696C"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6696C" w:rsidRPr="00D166AC" w:rsidRDefault="00F6696C" w:rsidP="00874B1F">
            <w:r>
              <w:rPr>
                <w:noProof/>
                <w:lang w:val="de-DE" w:eastAsia="de-DE"/>
              </w:rPr>
              <w:drawing>
                <wp:inline distT="0" distB="0" distL="0" distR="0" wp14:anchorId="4BE197AA" wp14:editId="288424DC">
                  <wp:extent cx="2646805" cy="1960411"/>
                  <wp:effectExtent l="0" t="0" r="1270" b="190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46805" cy="1960411"/>
                          </a:xfrm>
                          <a:prstGeom prst="rect">
                            <a:avLst/>
                          </a:prstGeom>
                          <a:noFill/>
                          <a:ln>
                            <a:noFill/>
                          </a:ln>
                        </pic:spPr>
                      </pic:pic>
                    </a:graphicData>
                  </a:graphic>
                </wp:inline>
              </w:drawing>
            </w:r>
          </w:p>
        </w:tc>
        <w:tc>
          <w:tcPr>
            <w:tcW w:w="4832" w:type="dxa"/>
          </w:tcPr>
          <w:p w:rsidR="00F6696C" w:rsidRDefault="00315DE1" w:rsidP="00874B1F">
            <w:pPr>
              <w:pStyle w:val="berschrift3"/>
              <w:outlineLvl w:val="2"/>
            </w:pPr>
            <w:r>
              <w:t>Downcut: W_G_3800CR_00034_HI</w:t>
            </w:r>
          </w:p>
          <w:p w:rsidR="00F6696C" w:rsidRPr="005B3697" w:rsidRDefault="00B87D74" w:rsidP="00310C16">
            <w:pPr>
              <w:pStyle w:val="Text"/>
              <w:jc w:val="left"/>
              <w:rPr>
                <w:sz w:val="20"/>
              </w:rPr>
            </w:pPr>
            <w:r>
              <w:rPr>
                <w:sz w:val="20"/>
              </w:rPr>
              <w:t>Procedimiento de D</w:t>
            </w:r>
            <w:r w:rsidR="00310C16">
              <w:rPr>
                <w:sz w:val="20"/>
              </w:rPr>
              <w:t>owncut:</w:t>
            </w:r>
            <w:r w:rsidR="00310C16">
              <w:rPr>
                <w:rFonts w:asciiTheme="majorHAnsi" w:hAnsiTheme="majorHAnsi"/>
                <w:bCs/>
                <w:sz w:val="20"/>
              </w:rPr>
              <w:t xml:space="preserve"> el rotor </w:t>
            </w:r>
            <w:r w:rsidR="00300B2B">
              <w:rPr>
                <w:rFonts w:asciiTheme="majorHAnsi" w:hAnsiTheme="majorHAnsi"/>
                <w:bCs/>
                <w:sz w:val="20"/>
              </w:rPr>
              <w:t xml:space="preserve">de </w:t>
            </w:r>
            <w:r w:rsidR="00310C16">
              <w:rPr>
                <w:rFonts w:asciiTheme="majorHAnsi" w:hAnsiTheme="majorHAnsi"/>
                <w:bCs/>
                <w:sz w:val="20"/>
              </w:rPr>
              <w:t>fresa</w:t>
            </w:r>
            <w:r w:rsidR="00300B2B">
              <w:rPr>
                <w:rFonts w:asciiTheme="majorHAnsi" w:hAnsiTheme="majorHAnsi"/>
                <w:bCs/>
                <w:sz w:val="20"/>
              </w:rPr>
              <w:t>do</w:t>
            </w:r>
            <w:r w:rsidR="00310C16">
              <w:rPr>
                <w:rFonts w:asciiTheme="majorHAnsi" w:hAnsiTheme="majorHAnsi"/>
                <w:bCs/>
                <w:sz w:val="20"/>
              </w:rPr>
              <w:t xml:space="preserve"> y mezcla trabaja en el sentido de avance. </w:t>
            </w:r>
            <w:r w:rsidR="00310C16">
              <w:rPr>
                <w:sz w:val="20"/>
              </w:rPr>
              <w:t>Esto evita el desprendimiento de trozos grandes.</w:t>
            </w:r>
            <w:r w:rsidR="00310C16">
              <w:rPr>
                <w:sz w:val="20"/>
              </w:rPr>
              <w:br/>
            </w:r>
          </w:p>
        </w:tc>
      </w:tr>
    </w:tbl>
    <w:p w:rsidR="00F6696C" w:rsidRDefault="00F6696C" w:rsidP="00D166AC">
      <w:pPr>
        <w:pStyle w:val="Text"/>
      </w:pPr>
    </w:p>
    <w:p w:rsidR="00B5007D" w:rsidRPr="002657E9" w:rsidRDefault="00B5007D" w:rsidP="00B5007D">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B5007D" w:rsidRPr="002657E9" w:rsidRDefault="00B5007D" w:rsidP="00B5007D">
      <w:pPr>
        <w:pStyle w:val="Text"/>
        <w:rPr>
          <w:lang w:val="es-ES_tradnl"/>
        </w:rPr>
      </w:pPr>
    </w:p>
    <w:p w:rsidR="00B5007D" w:rsidRPr="002657E9" w:rsidRDefault="00B5007D" w:rsidP="00B5007D">
      <w:pPr>
        <w:pStyle w:val="Text"/>
        <w:rPr>
          <w:lang w:val="es-ES_tradnl"/>
        </w:rPr>
      </w:pPr>
    </w:p>
    <w:tbl>
      <w:tblPr>
        <w:tblStyle w:val="Basic"/>
        <w:tblW w:w="0" w:type="auto"/>
        <w:tblLook w:val="04A0" w:firstRow="1" w:lastRow="0" w:firstColumn="1" w:lastColumn="0" w:noHBand="0" w:noVBand="1"/>
      </w:tblPr>
      <w:tblGrid>
        <w:gridCol w:w="4784"/>
        <w:gridCol w:w="4740"/>
      </w:tblGrid>
      <w:tr w:rsidR="00B5007D" w:rsidRPr="0043525C" w:rsidTr="008E3A1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B5007D" w:rsidRPr="000667C9" w:rsidRDefault="00B5007D" w:rsidP="008E3A1C">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B5007D" w:rsidRPr="00564374" w:rsidRDefault="00B5007D" w:rsidP="008E3A1C">
            <w:pPr>
              <w:pStyle w:val="Text"/>
              <w:rPr>
                <w:lang w:val="es-ES_tradnl"/>
              </w:rPr>
            </w:pPr>
            <w:r w:rsidRPr="00564374">
              <w:rPr>
                <w:lang w:val="es-ES_tradnl"/>
              </w:rPr>
              <w:t>WIRTGEN GmbH</w:t>
            </w:r>
          </w:p>
          <w:p w:rsidR="00B5007D" w:rsidRPr="00564374" w:rsidRDefault="00B5007D" w:rsidP="008E3A1C">
            <w:pPr>
              <w:pStyle w:val="Text"/>
              <w:rPr>
                <w:lang w:val="es-ES_tradnl"/>
              </w:rPr>
            </w:pPr>
            <w:r w:rsidRPr="00564374">
              <w:rPr>
                <w:lang w:val="es-ES_tradnl"/>
              </w:rPr>
              <w:t>Corporate Communications</w:t>
            </w:r>
          </w:p>
          <w:p w:rsidR="00B5007D" w:rsidRPr="00564374" w:rsidRDefault="00B5007D" w:rsidP="008E3A1C">
            <w:pPr>
              <w:pStyle w:val="Text"/>
              <w:rPr>
                <w:lang w:val="es-ES_tradnl"/>
              </w:rPr>
            </w:pPr>
            <w:r w:rsidRPr="00564374">
              <w:rPr>
                <w:lang w:val="es-ES_tradnl"/>
              </w:rPr>
              <w:t>Michaela Adams, Mario Linnemann</w:t>
            </w:r>
          </w:p>
          <w:p w:rsidR="00B5007D" w:rsidRPr="004E2D46" w:rsidRDefault="00B5007D" w:rsidP="008E3A1C">
            <w:pPr>
              <w:pStyle w:val="Text"/>
            </w:pPr>
            <w:r w:rsidRPr="004E2D46">
              <w:t>Reinhard-Wirtgen-Straße 2</w:t>
            </w:r>
          </w:p>
          <w:p w:rsidR="00B5007D" w:rsidRPr="004E2D46" w:rsidRDefault="00B5007D" w:rsidP="008E3A1C">
            <w:pPr>
              <w:pStyle w:val="Text"/>
            </w:pPr>
            <w:r w:rsidRPr="004E2D46">
              <w:t>53578 Windhagen</w:t>
            </w:r>
          </w:p>
          <w:p w:rsidR="00B5007D" w:rsidRPr="004E2D46" w:rsidRDefault="00B5007D" w:rsidP="008E3A1C">
            <w:pPr>
              <w:pStyle w:val="Text"/>
            </w:pPr>
            <w:r w:rsidRPr="004E2D46">
              <w:t>Alemania</w:t>
            </w:r>
          </w:p>
          <w:p w:rsidR="00B5007D" w:rsidRPr="004E2D46" w:rsidRDefault="00B5007D" w:rsidP="008E3A1C">
            <w:pPr>
              <w:pStyle w:val="Text"/>
            </w:pPr>
          </w:p>
          <w:p w:rsidR="00B5007D" w:rsidRPr="004E2D46" w:rsidRDefault="00B5007D" w:rsidP="008E3A1C">
            <w:pPr>
              <w:pStyle w:val="Text"/>
            </w:pPr>
            <w:r w:rsidRPr="004E2D46">
              <w:t>Teléfono:   +49 (0) 2645 131 – 0</w:t>
            </w:r>
          </w:p>
          <w:p w:rsidR="00B5007D" w:rsidRPr="00564374" w:rsidRDefault="00B5007D" w:rsidP="008E3A1C">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B5007D" w:rsidRPr="00564374" w:rsidRDefault="00B5007D" w:rsidP="008E3A1C">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B5007D" w:rsidRPr="0043525C" w:rsidRDefault="00B5007D" w:rsidP="008E3A1C">
            <w:pPr>
              <w:pStyle w:val="Text"/>
              <w:rPr>
                <w:lang w:val="es-ES_tradnl"/>
              </w:rPr>
            </w:pPr>
            <w:r w:rsidRPr="0043525C">
              <w:rPr>
                <w:lang w:val="es-ES_tradnl"/>
              </w:rPr>
              <w:t>www.wirtgen.com</w:t>
            </w:r>
          </w:p>
        </w:tc>
        <w:tc>
          <w:tcPr>
            <w:tcW w:w="4832" w:type="dxa"/>
            <w:tcBorders>
              <w:left w:val="single" w:sz="48" w:space="0" w:color="FFFFFF" w:themeColor="background1"/>
            </w:tcBorders>
          </w:tcPr>
          <w:p w:rsidR="00B5007D" w:rsidRPr="0043525C" w:rsidRDefault="00B5007D" w:rsidP="008E3A1C">
            <w:pPr>
              <w:pStyle w:val="Text"/>
              <w:rPr>
                <w:lang w:val="es-ES_tradnl"/>
              </w:rPr>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166" w:rsidRDefault="00247166" w:rsidP="00E55534">
      <w:r>
        <w:separator/>
      </w:r>
    </w:p>
  </w:endnote>
  <w:endnote w:type="continuationSeparator" w:id="0">
    <w:p w:rsidR="00247166" w:rsidRDefault="0024716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Bold">
    <w:altName w:val="Malgun Gothic"/>
    <w:panose1 w:val="020B0803020202020204"/>
    <w:charset w:val="81"/>
    <w:family w:val="swiss"/>
    <w:notTrueType/>
    <w:pitch w:val="default"/>
    <w:sig w:usb0="00000001" w:usb1="09060000" w:usb2="00000010" w:usb3="00000000" w:csb0="00080000"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77429">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F33DC18" wp14:editId="438F5F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72226B6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ECECA99" wp14:editId="3E3F2CF1">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1EA3EEEF"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166" w:rsidRDefault="00247166" w:rsidP="00E55534">
      <w:r>
        <w:separator/>
      </w:r>
    </w:p>
  </w:footnote>
  <w:footnote w:type="continuationSeparator" w:id="0">
    <w:p w:rsidR="00247166" w:rsidRDefault="0024716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4F3ACA38" wp14:editId="1D6CB876">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EED52D8" wp14:editId="2190095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2DC3964A" wp14:editId="4369717F">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C156C2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E3F84B7" wp14:editId="15D343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42C4754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64CCFDD0" wp14:editId="2731EE0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418557BD" wp14:editId="3383B54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6C"/>
    <w:rsid w:val="00042106"/>
    <w:rsid w:val="000471D8"/>
    <w:rsid w:val="0005285B"/>
    <w:rsid w:val="0005491E"/>
    <w:rsid w:val="00066D09"/>
    <w:rsid w:val="000778AB"/>
    <w:rsid w:val="0009665C"/>
    <w:rsid w:val="00103205"/>
    <w:rsid w:val="001104E6"/>
    <w:rsid w:val="0012026F"/>
    <w:rsid w:val="00130F29"/>
    <w:rsid w:val="00132055"/>
    <w:rsid w:val="001342B8"/>
    <w:rsid w:val="0014683F"/>
    <w:rsid w:val="001521BF"/>
    <w:rsid w:val="00154A12"/>
    <w:rsid w:val="00155C91"/>
    <w:rsid w:val="001602B7"/>
    <w:rsid w:val="001B16BB"/>
    <w:rsid w:val="00221BA6"/>
    <w:rsid w:val="00244981"/>
    <w:rsid w:val="00247166"/>
    <w:rsid w:val="00253A2E"/>
    <w:rsid w:val="00257B5C"/>
    <w:rsid w:val="002844EF"/>
    <w:rsid w:val="0029634D"/>
    <w:rsid w:val="0029709E"/>
    <w:rsid w:val="002A1297"/>
    <w:rsid w:val="002E03F0"/>
    <w:rsid w:val="002E765F"/>
    <w:rsid w:val="002F108B"/>
    <w:rsid w:val="00300B2B"/>
    <w:rsid w:val="003018BE"/>
    <w:rsid w:val="00310C16"/>
    <w:rsid w:val="00315DE1"/>
    <w:rsid w:val="003164F6"/>
    <w:rsid w:val="0034191A"/>
    <w:rsid w:val="00343CC7"/>
    <w:rsid w:val="0038452F"/>
    <w:rsid w:val="00384A08"/>
    <w:rsid w:val="003A753A"/>
    <w:rsid w:val="003B04FA"/>
    <w:rsid w:val="003B6CD1"/>
    <w:rsid w:val="003E1CB6"/>
    <w:rsid w:val="003E3CF6"/>
    <w:rsid w:val="003E759F"/>
    <w:rsid w:val="00403373"/>
    <w:rsid w:val="00406C81"/>
    <w:rsid w:val="00412545"/>
    <w:rsid w:val="00416C69"/>
    <w:rsid w:val="00430BB0"/>
    <w:rsid w:val="00432BF4"/>
    <w:rsid w:val="00463D7D"/>
    <w:rsid w:val="00465809"/>
    <w:rsid w:val="00470014"/>
    <w:rsid w:val="004720EE"/>
    <w:rsid w:val="00476F4D"/>
    <w:rsid w:val="00482E92"/>
    <w:rsid w:val="00506409"/>
    <w:rsid w:val="00522F4F"/>
    <w:rsid w:val="00530E32"/>
    <w:rsid w:val="005711A3"/>
    <w:rsid w:val="00573B2B"/>
    <w:rsid w:val="005A4F04"/>
    <w:rsid w:val="005B3697"/>
    <w:rsid w:val="005B4E8E"/>
    <w:rsid w:val="005B5793"/>
    <w:rsid w:val="005D492B"/>
    <w:rsid w:val="006330A2"/>
    <w:rsid w:val="006336A3"/>
    <w:rsid w:val="00642EB6"/>
    <w:rsid w:val="006B73C9"/>
    <w:rsid w:val="006F7602"/>
    <w:rsid w:val="00722A17"/>
    <w:rsid w:val="007416AA"/>
    <w:rsid w:val="00757B83"/>
    <w:rsid w:val="007658CA"/>
    <w:rsid w:val="007734A0"/>
    <w:rsid w:val="00777EF2"/>
    <w:rsid w:val="0078339D"/>
    <w:rsid w:val="00791A69"/>
    <w:rsid w:val="00794830"/>
    <w:rsid w:val="00797CAA"/>
    <w:rsid w:val="007C2658"/>
    <w:rsid w:val="007C4423"/>
    <w:rsid w:val="007E20D0"/>
    <w:rsid w:val="00820315"/>
    <w:rsid w:val="00843B45"/>
    <w:rsid w:val="00863129"/>
    <w:rsid w:val="008636D4"/>
    <w:rsid w:val="008650A1"/>
    <w:rsid w:val="008C2DB2"/>
    <w:rsid w:val="008D4AE7"/>
    <w:rsid w:val="008D770E"/>
    <w:rsid w:val="008E5ED9"/>
    <w:rsid w:val="008F7E2F"/>
    <w:rsid w:val="0090337E"/>
    <w:rsid w:val="009A7E90"/>
    <w:rsid w:val="009C2378"/>
    <w:rsid w:val="009D016F"/>
    <w:rsid w:val="009E251D"/>
    <w:rsid w:val="00A171F4"/>
    <w:rsid w:val="00A21B5E"/>
    <w:rsid w:val="00A24EFC"/>
    <w:rsid w:val="00A65AD9"/>
    <w:rsid w:val="00A73464"/>
    <w:rsid w:val="00A977CE"/>
    <w:rsid w:val="00AB5142"/>
    <w:rsid w:val="00AD131F"/>
    <w:rsid w:val="00AE3DE1"/>
    <w:rsid w:val="00AF3B3A"/>
    <w:rsid w:val="00AF6569"/>
    <w:rsid w:val="00B06265"/>
    <w:rsid w:val="00B5007D"/>
    <w:rsid w:val="00B54615"/>
    <w:rsid w:val="00B5695F"/>
    <w:rsid w:val="00B73A0A"/>
    <w:rsid w:val="00B87D74"/>
    <w:rsid w:val="00B90F78"/>
    <w:rsid w:val="00BA34B8"/>
    <w:rsid w:val="00BC0DD7"/>
    <w:rsid w:val="00BC10C6"/>
    <w:rsid w:val="00BC1CE4"/>
    <w:rsid w:val="00BD1058"/>
    <w:rsid w:val="00BE5BD0"/>
    <w:rsid w:val="00BF56B2"/>
    <w:rsid w:val="00C03396"/>
    <w:rsid w:val="00C1451A"/>
    <w:rsid w:val="00C21F57"/>
    <w:rsid w:val="00C32C7E"/>
    <w:rsid w:val="00C457C3"/>
    <w:rsid w:val="00C644CA"/>
    <w:rsid w:val="00C70B0A"/>
    <w:rsid w:val="00C73005"/>
    <w:rsid w:val="00C84CB5"/>
    <w:rsid w:val="00CC4B84"/>
    <w:rsid w:val="00CF36C9"/>
    <w:rsid w:val="00D04CB3"/>
    <w:rsid w:val="00D166AC"/>
    <w:rsid w:val="00D416D9"/>
    <w:rsid w:val="00D94983"/>
    <w:rsid w:val="00DC2A6F"/>
    <w:rsid w:val="00DD15FA"/>
    <w:rsid w:val="00DF1A6D"/>
    <w:rsid w:val="00E043FF"/>
    <w:rsid w:val="00E0541B"/>
    <w:rsid w:val="00E14608"/>
    <w:rsid w:val="00E21E67"/>
    <w:rsid w:val="00E30EBF"/>
    <w:rsid w:val="00E35CED"/>
    <w:rsid w:val="00E422CB"/>
    <w:rsid w:val="00E52D70"/>
    <w:rsid w:val="00E55534"/>
    <w:rsid w:val="00E77429"/>
    <w:rsid w:val="00E914D1"/>
    <w:rsid w:val="00E94A19"/>
    <w:rsid w:val="00EB32A2"/>
    <w:rsid w:val="00ED5D59"/>
    <w:rsid w:val="00F20920"/>
    <w:rsid w:val="00F42D9E"/>
    <w:rsid w:val="00F56318"/>
    <w:rsid w:val="00F659FE"/>
    <w:rsid w:val="00F6696C"/>
    <w:rsid w:val="00F82525"/>
    <w:rsid w:val="00F97FEA"/>
    <w:rsid w:val="00FA2ED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2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416D9"/>
    <w:rPr>
      <w:sz w:val="16"/>
      <w:szCs w:val="16"/>
    </w:rPr>
  </w:style>
  <w:style w:type="paragraph" w:styleId="Kommentartext">
    <w:name w:val="annotation text"/>
    <w:basedOn w:val="Standard"/>
    <w:link w:val="KommentartextZchn"/>
    <w:uiPriority w:val="99"/>
    <w:semiHidden/>
    <w:unhideWhenUsed/>
    <w:rsid w:val="00D416D9"/>
    <w:rPr>
      <w:sz w:val="20"/>
      <w:szCs w:val="20"/>
    </w:rPr>
  </w:style>
  <w:style w:type="character" w:customStyle="1" w:styleId="KommentartextZchn">
    <w:name w:val="Kommentartext Zchn"/>
    <w:basedOn w:val="Absatz-Standardschriftart"/>
    <w:link w:val="Kommentartext"/>
    <w:uiPriority w:val="99"/>
    <w:semiHidden/>
    <w:rsid w:val="00D416D9"/>
    <w:rPr>
      <w:sz w:val="20"/>
      <w:szCs w:val="20"/>
    </w:rPr>
  </w:style>
  <w:style w:type="paragraph" w:styleId="Kommentarthema">
    <w:name w:val="annotation subject"/>
    <w:basedOn w:val="Kommentartext"/>
    <w:next w:val="Kommentartext"/>
    <w:link w:val="KommentarthemaZchn"/>
    <w:uiPriority w:val="99"/>
    <w:semiHidden/>
    <w:unhideWhenUsed/>
    <w:rsid w:val="00D416D9"/>
    <w:rPr>
      <w:b/>
      <w:bCs/>
    </w:rPr>
  </w:style>
  <w:style w:type="character" w:customStyle="1" w:styleId="KommentarthemaZchn">
    <w:name w:val="Kommentarthema Zchn"/>
    <w:basedOn w:val="KommentartextZchn"/>
    <w:link w:val="Kommentarthema"/>
    <w:uiPriority w:val="99"/>
    <w:semiHidden/>
    <w:rsid w:val="00D416D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416D9"/>
    <w:rPr>
      <w:sz w:val="16"/>
      <w:szCs w:val="16"/>
    </w:rPr>
  </w:style>
  <w:style w:type="paragraph" w:styleId="Kommentartext">
    <w:name w:val="annotation text"/>
    <w:basedOn w:val="Standard"/>
    <w:link w:val="KommentartextZchn"/>
    <w:uiPriority w:val="99"/>
    <w:semiHidden/>
    <w:unhideWhenUsed/>
    <w:rsid w:val="00D416D9"/>
    <w:rPr>
      <w:sz w:val="20"/>
      <w:szCs w:val="20"/>
    </w:rPr>
  </w:style>
  <w:style w:type="character" w:customStyle="1" w:styleId="KommentartextZchn">
    <w:name w:val="Kommentartext Zchn"/>
    <w:basedOn w:val="Absatz-Standardschriftart"/>
    <w:link w:val="Kommentartext"/>
    <w:uiPriority w:val="99"/>
    <w:semiHidden/>
    <w:rsid w:val="00D416D9"/>
    <w:rPr>
      <w:sz w:val="20"/>
      <w:szCs w:val="20"/>
    </w:rPr>
  </w:style>
  <w:style w:type="paragraph" w:styleId="Kommentarthema">
    <w:name w:val="annotation subject"/>
    <w:basedOn w:val="Kommentartext"/>
    <w:next w:val="Kommentartext"/>
    <w:link w:val="KommentarthemaZchn"/>
    <w:uiPriority w:val="99"/>
    <w:semiHidden/>
    <w:unhideWhenUsed/>
    <w:rsid w:val="00D416D9"/>
    <w:rPr>
      <w:b/>
      <w:bCs/>
    </w:rPr>
  </w:style>
  <w:style w:type="character" w:customStyle="1" w:styleId="KommentarthemaZchn">
    <w:name w:val="Kommentarthema Zchn"/>
    <w:basedOn w:val="KommentartextZchn"/>
    <w:link w:val="Kommentarthema"/>
    <w:uiPriority w:val="99"/>
    <w:semiHidden/>
    <w:rsid w:val="00D4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tiff"/><Relationship Id="rId4" Type="http://schemas.microsoft.com/office/2007/relationships/stylesWithEffects" Target="stylesWithEffects.xml"/><Relationship Id="rId9" Type="http://schemas.openxmlformats.org/officeDocument/2006/relationships/image" Target="media/image3.tif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04899-B996-473C-BD19-63FA1E9A6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1013</Words>
  <Characters>6382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6</cp:revision>
  <dcterms:created xsi:type="dcterms:W3CDTF">2017-03-20T13:29:00Z</dcterms:created>
  <dcterms:modified xsi:type="dcterms:W3CDTF">2017-05-11T05:08:00Z</dcterms:modified>
</cp:coreProperties>
</file>